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300" w:lineRule="exact"/>
        <w:ind w:left="617" w:hanging="617" w:hangingChars="257"/>
        <w:jc w:val="right"/>
        <w:rPr>
          <w:rFonts w:hint="default" w:ascii="ＭＳ ゴシック" w:hAnsi="ＭＳ ゴシック" w:eastAsia="ＭＳ ゴシック"/>
          <w:sz w:val="24"/>
        </w:rPr>
      </w:pPr>
    </w:p>
    <w:tbl>
      <w:tblPr>
        <w:tblStyle w:val="11"/>
        <w:tblpPr w:leftFromText="142" w:rightFromText="142" w:topFromText="0" w:bottomFromText="0" w:vertAnchor="page" w:horzAnchor="page" w:tblpX="7288" w:tblpY="151"/>
        <w:tblW w:w="3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sz w:val="18"/>
        </w:rPr>
      </w:pP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sz w:val="18"/>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様式第５－（ロ）－②</w:t>
      </w:r>
    </w:p>
    <w:tbl>
      <w:tblPr>
        <w:tblStyle w:val="11"/>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一戸町長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23"/>
              <w:numPr>
                <w:ilvl w:val="0"/>
                <w:numId w:val="1"/>
              </w:numPr>
              <w:suppressAutoHyphens w:val="1"/>
              <w:kinsoku w:val="0"/>
              <w:wordWrap w:val="0"/>
              <w:overflowPunct w:val="0"/>
              <w:autoSpaceDE w:val="0"/>
              <w:autoSpaceDN w:val="0"/>
              <w:adjustRightInd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Ｅ</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主たる業種に係る上昇率</w:t>
            </w:r>
            <w:r>
              <w:rPr>
                <w:rFonts w:hint="default" w:ascii="ＭＳ ゴシック" w:hAnsi="ＭＳ ゴシック" w:eastAsia="ＭＳ ゴシック"/>
                <w:color w:val="000000"/>
                <w:kern w:val="0"/>
                <w:sz w:val="18"/>
                <w:u w:val="single" w:color="auto"/>
              </w:rPr>
              <w:softHyphen/>
            </w:r>
            <w:r>
              <w:rPr>
                <w:rFonts w:hint="default" w:ascii="ＭＳ ゴシック" w:hAnsi="ＭＳ ゴシック" w:eastAsia="ＭＳ ゴシック"/>
                <w:color w:val="000000"/>
                <w:kern w:val="0"/>
                <w:sz w:val="18"/>
                <w:u w:val="single" w:color="auto"/>
              </w:rPr>
              <w:softHyphen/>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auto"/>
              </w:rPr>
            </w:pPr>
            <w:r>
              <w:rPr>
                <w:rFonts w:hint="eastAsia" w:ascii="ＭＳ ゴシック" w:hAnsi="ＭＳ ゴシック" w:eastAsia="ＭＳ ゴシック"/>
                <w:color w:val="000000"/>
                <w:kern w:val="0"/>
                <w:sz w:val="18"/>
              </w:rPr>
              <w:t>　　　　　ｅ</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全体に係る上昇率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Ｅ：原油等の最近１か月間における平均仕入れ単価</w:t>
            </w:r>
            <w:r>
              <w:rPr>
                <w:rFonts w:hint="eastAsia" w:ascii="ＭＳ ゴシック" w:hAnsi="ＭＳ ゴシック" w:eastAsia="ＭＳ ゴシック"/>
                <w:color w:val="000000"/>
                <w:spacing w:val="16"/>
                <w:kern w:val="0"/>
                <w:sz w:val="18"/>
              </w:rPr>
              <w:t>　</w:t>
            </w:r>
          </w:p>
          <w:p>
            <w:pPr>
              <w:pStyle w:val="0"/>
              <w:suppressAutoHyphens w:val="1"/>
              <w:kinsoku w:val="0"/>
              <w:wordWrap w:val="0"/>
              <w:overflowPunct w:val="0"/>
              <w:autoSpaceDE w:val="0"/>
              <w:autoSpaceDN w:val="0"/>
              <w:adjustRightInd w:val="0"/>
              <w:spacing w:line="240" w:lineRule="exact"/>
              <w:ind w:firstLine="2756" w:firstLineChars="1300"/>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u w:val="single" w:color="auto"/>
              </w:rPr>
              <w:t>主たる業種に係る平均仕入単価</w:t>
            </w:r>
            <w:r>
              <w:rPr>
                <w:rFonts w:hint="eastAsia" w:ascii="ＭＳ ゴシック" w:hAnsi="ＭＳ ゴシック" w:eastAsia="ＭＳ ゴシック"/>
                <w:color w:val="000000"/>
                <w:spacing w:val="16"/>
                <w:kern w:val="0"/>
                <w:sz w:val="18"/>
                <w:u w:val="single" w:color="auto"/>
              </w:rPr>
              <w:t xml:space="preserve">               </w:t>
            </w:r>
            <w:r>
              <w:rPr>
                <w:rFonts w:hint="eastAsia" w:ascii="ＭＳ ゴシック" w:hAnsi="ＭＳ ゴシック" w:eastAsia="ＭＳ ゴシック"/>
                <w:color w:val="000000"/>
                <w:spacing w:val="16"/>
                <w:kern w:val="0"/>
                <w:sz w:val="18"/>
                <w:u w:val="single" w:color="auto"/>
              </w:rPr>
              <w:t>　　　　円</w:t>
            </w:r>
          </w:p>
          <w:p>
            <w:pPr>
              <w:pStyle w:val="0"/>
              <w:suppressAutoHyphens w:val="1"/>
              <w:kinsoku w:val="0"/>
              <w:overflowPunct w:val="0"/>
              <w:autoSpaceDE w:val="0"/>
              <w:autoSpaceDN w:val="0"/>
              <w:adjustRightInd w:val="0"/>
              <w:spacing w:line="240" w:lineRule="exact"/>
              <w:ind w:firstLine="3392" w:firstLineChars="1600"/>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spacing w:val="16"/>
                <w:kern w:val="0"/>
                <w:sz w:val="18"/>
                <w:u w:val="single" w:color="auto"/>
              </w:rPr>
              <w:t>全体に係る平均仕入単価</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ｅ：Ｅの期間に対応する前年１か月間の平均仕入れ単価</w:t>
            </w:r>
            <w:r>
              <w:rPr>
                <w:rFonts w:hint="eastAsia" w:ascii="ＭＳ ゴシック" w:hAnsi="ＭＳ ゴシック" w:eastAsia="ＭＳ ゴシック"/>
                <w:color w:val="000000"/>
                <w:spacing w:val="16"/>
                <w:kern w:val="0"/>
                <w:sz w:val="18"/>
              </w:rPr>
              <w:t>　</w:t>
            </w:r>
          </w:p>
          <w:p>
            <w:pPr>
              <w:pStyle w:val="0"/>
              <w:suppressAutoHyphens w:val="1"/>
              <w:kinsoku w:val="0"/>
              <w:wordWrap w:val="0"/>
              <w:overflowPunct w:val="0"/>
              <w:autoSpaceDE w:val="0"/>
              <w:autoSpaceDN w:val="0"/>
              <w:adjustRightInd w:val="0"/>
              <w:spacing w:line="240" w:lineRule="exact"/>
              <w:ind w:firstLine="2756" w:firstLineChars="1300"/>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u w:val="single" w:color="auto"/>
              </w:rPr>
              <w:t>主たる業種に係る平均仕入単価　</w:t>
            </w:r>
            <w:r>
              <w:rPr>
                <w:rFonts w:hint="eastAsia" w:ascii="ＭＳ ゴシック" w:hAnsi="ＭＳ ゴシック" w:eastAsia="ＭＳ ゴシック"/>
                <w:color w:val="000000"/>
                <w:spacing w:val="16"/>
                <w:kern w:val="0"/>
                <w:sz w:val="18"/>
                <w:u w:val="single" w:color="auto"/>
              </w:rPr>
              <w:t xml:space="preserve">                   </w:t>
            </w:r>
            <w:r>
              <w:rPr>
                <w:rFonts w:hint="eastAsia" w:ascii="ＭＳ ゴシック" w:hAnsi="ＭＳ ゴシック" w:eastAsia="ＭＳ ゴシック"/>
                <w:color w:val="000000"/>
                <w:spacing w:val="16"/>
                <w:kern w:val="0"/>
                <w:sz w:val="18"/>
                <w:u w:val="single" w:color="auto"/>
              </w:rPr>
              <w:t>　円</w:t>
            </w:r>
          </w:p>
          <w:p>
            <w:pPr>
              <w:pStyle w:val="0"/>
              <w:suppressAutoHyphens w:val="1"/>
              <w:kinsoku w:val="0"/>
              <w:overflowPunct w:val="0"/>
              <w:autoSpaceDE w:val="0"/>
              <w:autoSpaceDN w:val="0"/>
              <w:adjustRightInd w:val="0"/>
              <w:spacing w:line="240" w:lineRule="exact"/>
              <w:ind w:firstLine="3392" w:firstLineChars="1600"/>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u w:val="single" w:color="auto"/>
              </w:rPr>
              <w:t>全体に係る平均仕入単価</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23"/>
              <w:numPr>
                <w:ilvl w:val="0"/>
                <w:numId w:val="1"/>
              </w:numPr>
              <w:suppressAutoHyphens w:val="1"/>
              <w:kinsoku w:val="0"/>
              <w:wordWrap w:val="0"/>
              <w:overflowPunct w:val="0"/>
              <w:autoSpaceDE w:val="0"/>
              <w:autoSpaceDN w:val="0"/>
              <w:adjustRightInd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Ｓ</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主たる業種に係る依存率</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全体に係る依存率</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Ｃ：申込時点における最新の売上原価</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spacing w:val="16"/>
                <w:kern w:val="0"/>
                <w:sz w:val="18"/>
              </w:rPr>
              <w:t>　　　</w:t>
            </w:r>
          </w:p>
          <w:p>
            <w:pPr>
              <w:pStyle w:val="0"/>
              <w:suppressAutoHyphens w:val="1"/>
              <w:kinsoku w:val="0"/>
              <w:wordWrap w:val="0"/>
              <w:overflowPunct w:val="0"/>
              <w:autoSpaceDE w:val="0"/>
              <w:autoSpaceDN w:val="0"/>
              <w:adjustRightInd w:val="0"/>
              <w:spacing w:line="240" w:lineRule="exact"/>
              <w:ind w:firstLine="3286" w:firstLineChars="155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spacing w:val="16"/>
                <w:kern w:val="0"/>
                <w:sz w:val="18"/>
                <w:u w:val="single" w:color="auto"/>
              </w:rPr>
              <w:t>主たる業種に係る売上原価</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全体にかかる売上原価</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Ｓ：Ｃの売上原価に対応する原油等の仕入価格</w:t>
            </w:r>
            <w:r>
              <w:rPr>
                <w:rFonts w:hint="eastAsia" w:ascii="ＭＳ ゴシック" w:hAnsi="ＭＳ ゴシック" w:eastAsia="ＭＳ ゴシック"/>
                <w:color w:val="000000"/>
                <w:spacing w:val="16"/>
                <w:kern w:val="0"/>
                <w:sz w:val="18"/>
              </w:rPr>
              <w:t xml:space="preserve">    </w:t>
            </w:r>
          </w:p>
          <w:p>
            <w:pPr>
              <w:pStyle w:val="0"/>
              <w:suppressAutoHyphens w:val="1"/>
              <w:kinsoku w:val="0"/>
              <w:wordWrap w:val="0"/>
              <w:overflowPunct w:val="0"/>
              <w:autoSpaceDE w:val="0"/>
              <w:autoSpaceDN w:val="0"/>
              <w:adjustRightInd w:val="0"/>
              <w:spacing w:line="240" w:lineRule="exact"/>
              <w:ind w:firstLine="3074" w:firstLineChars="145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spacing w:val="16"/>
                <w:kern w:val="0"/>
                <w:sz w:val="18"/>
                <w:u w:val="single" w:color="auto"/>
              </w:rPr>
              <w:t>主たる業種に係る仕入れ価格</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全体に係る仕入れ価格</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23"/>
              <w:numPr>
                <w:ilvl w:val="0"/>
                <w:numId w:val="1"/>
              </w:numPr>
              <w:suppressAutoHyphens w:val="1"/>
              <w:kinsoku w:val="0"/>
              <w:wordWrap w:val="0"/>
              <w:overflowPunct w:val="0"/>
              <w:autoSpaceDE w:val="0"/>
              <w:autoSpaceDN w:val="0"/>
              <w:adjustRightInd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Ａ</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ａ</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主たる業種に係る転嫁の状況　Ｐ＝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＝Ｐ</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kern w:val="0"/>
                <w:sz w:val="18"/>
                <w:u w:val="single" w:color="auto"/>
              </w:rPr>
              <w:t>全体に係る転嫁の状況</w:t>
            </w:r>
            <w:r>
              <w:rPr>
                <w:rFonts w:hint="eastAsia" w:ascii="ＭＳ ゴシック" w:hAnsi="ＭＳ ゴシック" w:eastAsia="ＭＳ ゴシック"/>
                <w:color w:val="000000"/>
                <w:kern w:val="0"/>
                <w:sz w:val="18"/>
                <w:u w:val="single" w:color="000000"/>
              </w:rPr>
              <w:t>　Ｐ＝</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kern w:val="0"/>
                <w:sz w:val="18"/>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Ａ：申込時点における最近３か月間の原油等の仕入価格</w:t>
            </w:r>
            <w:r>
              <w:rPr>
                <w:rFonts w:hint="eastAsia" w:ascii="ＭＳ ゴシック" w:hAnsi="ＭＳ ゴシック" w:eastAsia="ＭＳ ゴシック"/>
                <w:color w:val="000000"/>
                <w:spacing w:val="16"/>
                <w:kern w:val="0"/>
                <w:sz w:val="18"/>
              </w:rPr>
              <w:t xml:space="preserve">  </w:t>
            </w:r>
          </w:p>
          <w:p>
            <w:pPr>
              <w:pStyle w:val="0"/>
              <w:suppressAutoHyphens w:val="1"/>
              <w:kinsoku w:val="0"/>
              <w:wordWrap w:val="0"/>
              <w:overflowPunct w:val="0"/>
              <w:autoSpaceDE w:val="0"/>
              <w:autoSpaceDN w:val="0"/>
              <w:adjustRightInd w:val="0"/>
              <w:spacing w:line="240" w:lineRule="exact"/>
              <w:ind w:firstLine="3074" w:firstLineChars="145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spacing w:val="16"/>
                <w:kern w:val="0"/>
                <w:sz w:val="18"/>
                <w:u w:val="single" w:color="auto"/>
              </w:rPr>
              <w:t>主たる業種に係る仕入価格</w:t>
            </w:r>
            <w:r>
              <w:rPr>
                <w:rFonts w:hint="eastAsia" w:ascii="ＭＳ ゴシック" w:hAnsi="ＭＳ ゴシック" w:eastAsia="ＭＳ ゴシック"/>
                <w:color w:val="000000"/>
                <w:spacing w:val="16"/>
                <w:kern w:val="0"/>
                <w:sz w:val="18"/>
                <w:u w:val="single" w:color="auto"/>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全体に係る仕入価格</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ａ：Ａの期間に対応する前年３か月間の原油等の仕入価格</w:t>
            </w:r>
            <w:r>
              <w:rPr>
                <w:rFonts w:hint="eastAsia" w:ascii="ＭＳ ゴシック" w:hAnsi="ＭＳ ゴシック" w:eastAsia="ＭＳ ゴシック"/>
                <w:color w:val="000000"/>
                <w:spacing w:val="16"/>
                <w:kern w:val="0"/>
                <w:sz w:val="18"/>
              </w:rPr>
              <w:t xml:space="preserve"> </w:t>
            </w:r>
          </w:p>
          <w:p>
            <w:pPr>
              <w:pStyle w:val="0"/>
              <w:suppressAutoHyphens w:val="1"/>
              <w:kinsoku w:val="0"/>
              <w:wordWrap w:val="0"/>
              <w:overflowPunct w:val="0"/>
              <w:autoSpaceDE w:val="0"/>
              <w:autoSpaceDN w:val="0"/>
              <w:adjustRightInd w:val="0"/>
              <w:spacing w:line="240" w:lineRule="exact"/>
              <w:ind w:firstLine="3074" w:firstLineChars="145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spacing w:val="16"/>
                <w:kern w:val="0"/>
                <w:sz w:val="18"/>
                <w:u w:val="single" w:color="auto"/>
              </w:rPr>
              <w:t>主たる業種に係る仕入価格</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sz w:val="18"/>
                <w:u w:val="single" w:color="auto"/>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全体に係る仕入価格</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Ｂ：申込時点における最近３か月間の売上高</w:t>
            </w:r>
            <w:r>
              <w:rPr>
                <w:rFonts w:hint="eastAsia" w:ascii="ＭＳ ゴシック" w:hAnsi="ＭＳ ゴシック" w:eastAsia="ＭＳ ゴシック"/>
                <w:color w:val="000000"/>
                <w:spacing w:val="16"/>
                <w:kern w:val="0"/>
                <w:sz w:val="18"/>
              </w:rPr>
              <w:t xml:space="preserve">          </w:t>
            </w:r>
          </w:p>
          <w:p>
            <w:pPr>
              <w:pStyle w:val="0"/>
              <w:suppressAutoHyphens w:val="1"/>
              <w:kinsoku w:val="0"/>
              <w:wordWrap w:val="0"/>
              <w:overflowPunct w:val="0"/>
              <w:autoSpaceDE w:val="0"/>
              <w:autoSpaceDN w:val="0"/>
              <w:adjustRightInd w:val="0"/>
              <w:spacing w:line="240" w:lineRule="exact"/>
              <w:ind w:firstLine="3510" w:firstLineChars="195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u w:val="single" w:color="000000"/>
              </w:rPr>
              <w:t>主たる業種に係る売上高</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sz w:val="18"/>
                <w:u w:val="single" w:color="auto"/>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全体に係る売上高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ｂ：Ｂの期間に対応する前年３か月間の売上高</w:t>
            </w:r>
            <w:r>
              <w:rPr>
                <w:rFonts w:hint="eastAsia" w:ascii="ＭＳ ゴシック" w:hAnsi="ＭＳ ゴシック" w:eastAsia="ＭＳ ゴシック"/>
                <w:color w:val="000000"/>
                <w:spacing w:val="16"/>
                <w:kern w:val="0"/>
                <w:sz w:val="18"/>
              </w:rPr>
              <w:t xml:space="preserve">        </w:t>
            </w:r>
          </w:p>
          <w:p>
            <w:pPr>
              <w:pStyle w:val="0"/>
              <w:suppressAutoHyphens w:val="1"/>
              <w:kinsoku w:val="0"/>
              <w:wordWrap w:val="0"/>
              <w:overflowPunct w:val="0"/>
              <w:autoSpaceDE w:val="0"/>
              <w:autoSpaceDN w:val="0"/>
              <w:adjustRightInd w:val="0"/>
              <w:spacing w:line="240" w:lineRule="exact"/>
              <w:ind w:firstLine="3392" w:firstLineChars="160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spacing w:val="16"/>
                <w:kern w:val="0"/>
                <w:sz w:val="18"/>
                <w:u w:val="single" w:color="auto"/>
              </w:rPr>
              <w:t>主たる業種に係る売上高</w:t>
            </w:r>
            <w:r>
              <w:rPr>
                <w:rFonts w:hint="eastAsia" w:ascii="ＭＳ ゴシック" w:hAnsi="ＭＳ ゴシック" w:eastAsia="ＭＳ ゴシック"/>
                <w:color w:val="000000"/>
                <w:spacing w:val="16"/>
                <w:kern w:val="0"/>
                <w:sz w:val="18"/>
                <w:u w:val="single" w:color="auto"/>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全体に係る売上高</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spacing w:line="0" w:lineRule="atLeas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0" w:lineRule="atLeas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w:t>
      </w:r>
      <w:r>
        <w:rPr>
          <w:rFonts w:hint="eastAsia" w:ascii="ＭＳ ゴシック" w:hAnsi="ＭＳ ゴシック" w:eastAsia="ＭＳ ゴシック"/>
          <w:color w:val="000000"/>
          <w:spacing w:val="16"/>
          <w:kern w:val="0"/>
          <w:sz w:val="16"/>
        </w:rPr>
        <w:t>○○○には、主たる事業が属する指定業種（日本標準産業分類の細分類番号と細分類業種名）を記載。</w:t>
      </w:r>
    </w:p>
    <w:p>
      <w:pPr>
        <w:pStyle w:val="0"/>
        <w:suppressAutoHyphens w:val="1"/>
        <w:spacing w:line="0" w:lineRule="atLeast"/>
        <w:ind w:left="709" w:hanging="709"/>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（注３）主たる業種及び申請者全体の原油等の仕入単価、売上原価、原油等の仕入価格を記載。上昇率及び依存率が２０％以上となっていること。</w:t>
      </w:r>
    </w:p>
    <w:p>
      <w:pPr>
        <w:pStyle w:val="0"/>
        <w:suppressAutoHyphens w:val="1"/>
        <w:spacing w:line="0" w:lineRule="atLeast"/>
        <w:ind w:left="738" w:hanging="738"/>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（注４）主たる業種及び申請者全体の原油等の仕入価格、売上高を記載。Ｐ＞０となっていること。</w:t>
      </w:r>
    </w:p>
    <w:p>
      <w:pPr>
        <w:pStyle w:val="0"/>
        <w:suppressAutoHyphens w:val="1"/>
        <w:spacing w:line="0" w:lineRule="atLeas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0" w:lineRule="atLeas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widowControl w:val="1"/>
        <w:spacing w:line="0" w:lineRule="atLeast"/>
        <w:ind w:left="411" w:hanging="411" w:hangingChars="257"/>
        <w:jc w:val="left"/>
        <w:rPr>
          <w:rFonts w:hint="default" w:ascii="ＭＳ ゴシック" w:hAnsi="ＭＳ ゴシック" w:eastAsia="ＭＳ ゴシック"/>
          <w:color w:val="000000"/>
          <w:kern w:val="0"/>
          <w:sz w:val="16"/>
        </w:rPr>
      </w:pPr>
      <w:r>
        <w:rPr>
          <w:rFonts w:hint="default" w:ascii="ＭＳ ゴシック" w:hAnsi="ＭＳ ゴシック" w:eastAsia="ＭＳ ゴシック"/>
          <w:sz w:val="16"/>
        </w:rPr>
        <mc:AlternateContent>
          <mc:Choice Requires="wps">
            <w:drawing>
              <wp:anchor distT="0" distB="0" distL="114300" distR="114300" simplePos="0" relativeHeight="2" behindDoc="0" locked="0" layoutInCell="1" hidden="0" allowOverlap="1">
                <wp:simplePos x="0" y="0"/>
                <wp:positionH relativeFrom="column">
                  <wp:posOffset>200025</wp:posOffset>
                </wp:positionH>
                <wp:positionV relativeFrom="paragraph">
                  <wp:posOffset>236855</wp:posOffset>
                </wp:positionV>
                <wp:extent cx="6457950" cy="266700"/>
                <wp:effectExtent l="0" t="0" r="635" b="635"/>
                <wp:wrapNone/>
                <wp:docPr id="1026" name="テキスト ボックス 8"/>
                <a:graphic xmlns:a="http://schemas.openxmlformats.org/drawingml/2006/main">
                  <a:graphicData uri="http://schemas.microsoft.com/office/word/2010/wordprocessingShape">
                    <wps:wsp>
                      <wps:cNvPr id="1026" name="テキスト ボックス 8"/>
                      <wps:cNvSpPr txBox="1"/>
                      <wps:spPr>
                        <a:xfrm>
                          <a:off x="0" y="0"/>
                          <a:ext cx="6457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認定第　　　　　号</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18.64pt;mso-position-vertical-relative:text;mso-position-horizontal-relative:text;v-text-anchor:middle;position:absolute;height:21pt;mso-wrap-distance-top:0pt;width:508.5pt;mso-wrap-distance-left:9pt;margin-left:15.75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認定第　　　　　号</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widowControl w:val="1"/>
        <w:spacing w:line="0" w:lineRule="atLeast"/>
        <w:ind w:left="411" w:hanging="411" w:hangingChars="257"/>
        <w:jc w:val="left"/>
        <w:rPr>
          <w:rFonts w:hint="default" w:ascii="ＭＳ ゴシック" w:hAnsi="ＭＳ ゴシック" w:eastAsia="ＭＳ ゴシック"/>
          <w:color w:val="000000"/>
          <w:kern w:val="0"/>
          <w:sz w:val="16"/>
        </w:rPr>
      </w:pPr>
      <w:r>
        <w:rPr>
          <w:rFonts w:hint="default" w:ascii="ＭＳ ゴシック" w:hAnsi="ＭＳ ゴシック" w:eastAsia="ＭＳ ゴシック"/>
          <w:sz w:val="16"/>
        </w:rPr>
        <mc:AlternateContent>
          <mc:Choice Requires="wps">
            <w:drawing>
              <wp:anchor distT="0" distB="0" distL="114300" distR="114300" simplePos="0" relativeHeight="4" behindDoc="0" locked="0" layoutInCell="1" hidden="0" allowOverlap="1">
                <wp:simplePos x="0" y="0"/>
                <wp:positionH relativeFrom="column">
                  <wp:posOffset>257175</wp:posOffset>
                </wp:positionH>
                <wp:positionV relativeFrom="paragraph">
                  <wp:posOffset>87630</wp:posOffset>
                </wp:positionV>
                <wp:extent cx="1962150" cy="266700"/>
                <wp:effectExtent l="0" t="0" r="635" b="635"/>
                <wp:wrapNone/>
                <wp:docPr id="1027" name="テキスト ボックス 12"/>
                <a:graphic xmlns:a="http://schemas.openxmlformats.org/drawingml/2006/main">
                  <a:graphicData uri="http://schemas.microsoft.com/office/word/2010/wordprocessingShape">
                    <wps:wsp>
                      <wps:cNvPr id="1027" name="テキスト ボックス 12"/>
                      <wps:cNvSpPr txBox="1"/>
                      <wps:spPr>
                        <a:xfrm>
                          <a:off x="0" y="0"/>
                          <a:ext cx="1962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Theme="minorEastAsia" w:hAnsiTheme="minorEastAsia"/>
                                <w:sz w:val="16"/>
                              </w:rPr>
                              <w:t>　</w:t>
                            </w:r>
                            <w:r>
                              <w:rPr>
                                <w:rFonts w:hint="eastAsia" w:asciiTheme="majorEastAsia" w:hAnsiTheme="majorEastAsia" w:eastAsiaTheme="majorEastAsia"/>
                                <w:sz w:val="16"/>
                              </w:rPr>
                              <w:t>　　　　　年　　　月　　　日</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6.9pt;mso-position-vertical-relative:text;mso-position-horizontal-relative:text;v-text-anchor:middle;position:absolute;height:21pt;mso-wrap-distance-top:0pt;width:154.5pt;mso-wrap-distance-left:9pt;margin-left:20.25pt;z-index:4;"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6"/>
                        </w:rPr>
                      </w:pPr>
                      <w:r>
                        <w:rPr>
                          <w:rFonts w:hint="eastAsia" w:asciiTheme="minorEastAsia" w:hAnsiTheme="minorEastAsia"/>
                          <w:sz w:val="16"/>
                        </w:rPr>
                        <w:t>　</w:t>
                      </w:r>
                      <w:r>
                        <w:rPr>
                          <w:rFonts w:hint="eastAsia" w:asciiTheme="majorEastAsia" w:hAnsiTheme="majorEastAsia" w:eastAsiaTheme="majorEastAsia"/>
                          <w:sz w:val="16"/>
                        </w:rPr>
                        <w:t>　　　　　年　　　月　　　日</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6"/>
        </w:rPr>
        <w:t>----------------------------------------------------------------------------------------------------------------------------------</w:t>
      </w:r>
    </w:p>
    <w:p>
      <w:pPr>
        <w:pStyle w:val="0"/>
        <w:widowControl w:val="1"/>
        <w:spacing w:line="300" w:lineRule="exact"/>
        <w:jc w:val="left"/>
        <w:rPr>
          <w:rFonts w:hint="default" w:ascii="ＭＳ ゴシック" w:hAnsi="ＭＳ ゴシック" w:eastAsia="ＭＳ ゴシック"/>
          <w:sz w:val="16"/>
        </w:rPr>
      </w:pPr>
      <w:r>
        <w:rPr>
          <w:rFonts w:hint="default" w:ascii="ＭＳ ゴシック" w:hAnsi="ＭＳ ゴシック" w:eastAsia="ＭＳ ゴシック"/>
          <w:sz w:val="16"/>
        </w:rPr>
        <mc:AlternateContent>
          <mc:Choice Requires="wps">
            <w:drawing>
              <wp:anchor distT="0" distB="0" distL="114300" distR="114300" simplePos="0" relativeHeight="6" behindDoc="0" locked="0" layoutInCell="1" hidden="0" allowOverlap="1">
                <wp:simplePos x="0" y="0"/>
                <wp:positionH relativeFrom="column">
                  <wp:posOffset>1589405</wp:posOffset>
                </wp:positionH>
                <wp:positionV relativeFrom="paragraph">
                  <wp:posOffset>316865</wp:posOffset>
                </wp:positionV>
                <wp:extent cx="4974590" cy="266700"/>
                <wp:effectExtent l="0" t="0" r="635" b="635"/>
                <wp:wrapNone/>
                <wp:docPr id="1028" name="テキスト ボックス 14"/>
                <a:graphic xmlns:a="http://schemas.openxmlformats.org/drawingml/2006/main">
                  <a:graphicData uri="http://schemas.microsoft.com/office/word/2010/wordprocessingShape">
                    <wps:wsp>
                      <wps:cNvPr id="1028" name="テキスト ボックス 14"/>
                      <wps:cNvSpPr txBox="1"/>
                      <wps:spPr>
                        <a:xfrm>
                          <a:off x="0" y="0"/>
                          <a:ext cx="49745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inorEastAsia" w:hAnsiTheme="minorEastAsia"/>
                                <w:sz w:val="16"/>
                              </w:rPr>
                              <w:t>　　　　　　　　　　　　　　　　　　　　　　　　　　　　</w:t>
                            </w:r>
                            <w:r>
                              <w:rPr>
                                <w:rFonts w:hint="eastAsia" w:asciiTheme="majorEastAsia" w:hAnsiTheme="majorEastAsia" w:eastAsiaTheme="majorEastAsia"/>
                                <w:sz w:val="16"/>
                              </w:rPr>
                              <w:t>　　</w:t>
                            </w:r>
                            <w:r>
                              <w:rPr>
                                <w:rFonts w:hint="eastAsia" w:asciiTheme="majorEastAsia" w:hAnsiTheme="majorEastAsia" w:eastAsiaTheme="majorEastAsia"/>
                                <w:sz w:val="18"/>
                              </w:rPr>
                              <w:t>一戸町長　　　　　　　　　　</w:t>
                            </w:r>
                            <w:bookmarkStart w:id="0" w:name="_GoBack"/>
                            <w:bookmarkEnd w:id="0"/>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24.95pt;mso-position-vertical-relative:text;mso-position-horizontal-relative:text;v-text-anchor:middle;position:absolute;height:21pt;mso-wrap-distance-top:0pt;width:391.7pt;mso-wrap-distance-left:9pt;margin-left:125.15pt;z-index:6;" o:spid="_x0000_s1028"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8"/>
                        </w:rPr>
                      </w:pPr>
                      <w:r>
                        <w:rPr>
                          <w:rFonts w:hint="eastAsia" w:asciiTheme="minorEastAsia" w:hAnsiTheme="minorEastAsia"/>
                          <w:sz w:val="16"/>
                        </w:rPr>
                        <w:t>　　　　　　　　　　　　　　　　　　　　　　　　　　　　</w:t>
                      </w:r>
                      <w:r>
                        <w:rPr>
                          <w:rFonts w:hint="eastAsia" w:asciiTheme="majorEastAsia" w:hAnsiTheme="majorEastAsia" w:eastAsiaTheme="majorEastAsia"/>
                          <w:sz w:val="16"/>
                        </w:rPr>
                        <w:t>　　</w:t>
                      </w:r>
                      <w:r>
                        <w:rPr>
                          <w:rFonts w:hint="eastAsia" w:asciiTheme="majorEastAsia" w:hAnsiTheme="majorEastAsia" w:eastAsiaTheme="majorEastAsia"/>
                          <w:sz w:val="18"/>
                        </w:rPr>
                        <w:t>一戸町長　　　　　　　　　　</w:t>
                      </w:r>
                      <w:bookmarkStart w:id="1" w:name="_GoBack"/>
                      <w:bookmarkEnd w:id="1"/>
                    </w:p>
                  </w:txbxContent>
                </v:textbox>
                <v:imagedata o:title=""/>
                <w10:wrap type="none" anchorx="text" anchory="text"/>
              </v:shape>
            </w:pict>
          </mc:Fallback>
        </mc:AlternateContent>
      </w:r>
      <w:r>
        <w:rPr>
          <w:rFonts w:hint="default" w:ascii="ＭＳ ゴシック" w:hAnsi="ＭＳ ゴシック" w:eastAsia="ＭＳ ゴシック"/>
          <w:sz w:val="16"/>
        </w:rPr>
        <mc:AlternateContent>
          <mc:Choice Requires="wps">
            <w:drawing>
              <wp:anchor distT="0" distB="0" distL="114300" distR="114300" simplePos="0" relativeHeight="5" behindDoc="0" locked="0" layoutInCell="1" hidden="0" allowOverlap="1">
                <wp:simplePos x="0" y="0"/>
                <wp:positionH relativeFrom="column">
                  <wp:posOffset>200025</wp:posOffset>
                </wp:positionH>
                <wp:positionV relativeFrom="paragraph">
                  <wp:posOffset>179705</wp:posOffset>
                </wp:positionV>
                <wp:extent cx="5191125" cy="266700"/>
                <wp:effectExtent l="0" t="0" r="635" b="635"/>
                <wp:wrapNone/>
                <wp:docPr id="1029" name="テキスト ボックス 13"/>
                <a:graphic xmlns:a="http://schemas.openxmlformats.org/drawingml/2006/main">
                  <a:graphicData uri="http://schemas.microsoft.com/office/word/2010/wordprocessingShape">
                    <wps:wsp>
                      <wps:cNvPr id="1029" name="テキスト ボックス 13"/>
                      <wps:cNvSpPr txBox="1"/>
                      <wps:spPr>
                        <a:xfrm>
                          <a:off x="0" y="0"/>
                          <a:ext cx="5191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Theme="minorEastAsia" w:hAnsiTheme="minorEastAsia"/>
                                <w:sz w:val="16"/>
                              </w:rPr>
                              <w:t>　</w:t>
                            </w:r>
                            <w:r>
                              <w:rPr>
                                <w:rFonts w:hint="eastAsia" w:asciiTheme="majorEastAsia" w:hAnsiTheme="majorEastAsia" w:eastAsiaTheme="majorEastAsia"/>
                                <w:sz w:val="16"/>
                              </w:rPr>
                              <w:t>（注）本認定書の有効期間：　　　　　年　　　月　　　日から　　　　　年　　　月　　　日まで</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14.15pt;mso-position-vertical-relative:text;mso-position-horizontal-relative:text;v-text-anchor:middle;position:absolute;height:21pt;mso-wrap-distance-top:0pt;width:408.75pt;mso-wrap-distance-left:9pt;margin-left:15.75pt;z-index:5;" o:spid="_x0000_s1029"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6"/>
                        </w:rPr>
                      </w:pPr>
                      <w:r>
                        <w:rPr>
                          <w:rFonts w:hint="eastAsia" w:asciiTheme="minorEastAsia" w:hAnsiTheme="minorEastAsia"/>
                          <w:sz w:val="16"/>
                        </w:rPr>
                        <w:t>　</w:t>
                      </w:r>
                      <w:r>
                        <w:rPr>
                          <w:rFonts w:hint="eastAsia" w:asciiTheme="majorEastAsia" w:hAnsiTheme="majorEastAsia" w:eastAsiaTheme="majorEastAsia"/>
                          <w:sz w:val="16"/>
                        </w:rPr>
                        <w:t>（注）本認定書の有効期間：　　　　　年　　　月　　　日から　　　　　年　　　月　　　日まで</w:t>
                      </w:r>
                    </w:p>
                  </w:txbxContent>
                </v:textbox>
                <v:imagedata o:title=""/>
                <w10:wrap type="none" anchorx="text" anchory="text"/>
              </v:shape>
            </w:pict>
          </mc:Fallback>
        </mc:AlternateContent>
      </w:r>
      <w:r>
        <w:rPr>
          <w:rFonts w:hint="default" w:ascii="ＭＳ ゴシック" w:hAnsi="ＭＳ ゴシック" w:eastAsia="ＭＳ ゴシック"/>
          <w:sz w:val="16"/>
        </w:rPr>
        <mc:AlternateContent>
          <mc:Choice Requires="wps">
            <w:drawing>
              <wp:anchor distT="0" distB="0" distL="114300" distR="114300" simplePos="0" relativeHeight="3" behindDoc="0" locked="0" layoutInCell="1" hidden="0" allowOverlap="1">
                <wp:simplePos x="0" y="0"/>
                <wp:positionH relativeFrom="column">
                  <wp:posOffset>247650</wp:posOffset>
                </wp:positionH>
                <wp:positionV relativeFrom="paragraph">
                  <wp:posOffset>68580</wp:posOffset>
                </wp:positionV>
                <wp:extent cx="6457950" cy="266700"/>
                <wp:effectExtent l="0" t="0" r="635" b="635"/>
                <wp:wrapNone/>
                <wp:docPr id="1030" name="テキスト ボックス 9"/>
                <a:graphic xmlns:a="http://schemas.openxmlformats.org/drawingml/2006/main">
                  <a:graphicData uri="http://schemas.microsoft.com/office/word/2010/wordprocessingShape">
                    <wps:wsp>
                      <wps:cNvPr id="1030" name="テキスト ボックス 9"/>
                      <wps:cNvSpPr txBox="1"/>
                      <wps:spPr>
                        <a:xfrm>
                          <a:off x="0" y="0"/>
                          <a:ext cx="6457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Theme="minorEastAsia" w:hAnsiTheme="minorEastAsia"/>
                                <w:sz w:val="16"/>
                              </w:rPr>
                              <w:t>　</w:t>
                            </w:r>
                            <w:r>
                              <w:rPr>
                                <w:rFonts w:hint="eastAsia" w:asciiTheme="majorEastAsia" w:hAnsiTheme="majorEastAsia" w:eastAsiaTheme="majorEastAsia"/>
                                <w:sz w:val="16"/>
                              </w:rPr>
                              <w:t>申請のとおり、相違ないことを認定いたします。</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5.4pt;mso-position-vertical-relative:text;mso-position-horizontal-relative:text;v-text-anchor:middle;position:absolute;height:21pt;mso-wrap-distance-top:0pt;width:508.5pt;mso-wrap-distance-left:9pt;margin-left:19.5pt;z-index:3;" o:spid="_x0000_s1030"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6"/>
                        </w:rPr>
                      </w:pPr>
                      <w:r>
                        <w:rPr>
                          <w:rFonts w:hint="eastAsia" w:asciiTheme="minorEastAsia" w:hAnsiTheme="minorEastAsia"/>
                          <w:sz w:val="16"/>
                        </w:rPr>
                        <w:t>　</w:t>
                      </w:r>
                      <w:r>
                        <w:rPr>
                          <w:rFonts w:hint="eastAsia" w:asciiTheme="majorEastAsia" w:hAnsiTheme="majorEastAsia" w:eastAsiaTheme="majorEastAsia"/>
                          <w:sz w:val="16"/>
                        </w:rPr>
                        <w:t>申請のとおり、相違ないことを認定いたします。</w:t>
                      </w:r>
                    </w:p>
                  </w:txbxContent>
                </v:textbox>
                <v:imagedata o:title=""/>
                <w10:wrap type="none" anchorx="text" anchory="text"/>
              </v:shape>
            </w:pict>
          </mc:Fallback>
        </mc:AlternateContent>
      </w:r>
    </w:p>
    <w:sectPr>
      <w:pgSz w:w="11906" w:h="16838"/>
      <w:pgMar w:top="57" w:right="720" w:bottom="5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DEE372"/>
    <w:lvl w:ilvl="0" w:tplc="DD685D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1</Pages>
  <Words>344</Words>
  <Characters>1964</Characters>
  <Application>JUST Note</Application>
  <Lines>16</Lines>
  <Paragraphs>4</Paragraphs>
  <CharactersWithSpaces>2304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hbis</dc:creator>
  <cp:lastModifiedBy>大道 一馬</cp:lastModifiedBy>
  <cp:lastPrinted>2015-10-16T07:40:00Z</cp:lastPrinted>
  <dcterms:created xsi:type="dcterms:W3CDTF">2012-11-07T07:17:00Z</dcterms:created>
  <dcterms:modified xsi:type="dcterms:W3CDTF">2020-05-01T02:54:14Z</dcterms:modified>
  <cp:revision>11</cp:revision>
</cp:coreProperties>
</file>